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95" w:rsidRPr="005E6495" w:rsidRDefault="005E6495" w:rsidP="00BC1E45">
      <w:pPr>
        <w:jc w:val="center"/>
        <w:rPr>
          <w:b/>
          <w:bCs/>
          <w:iCs/>
          <w:szCs w:val="22"/>
        </w:rPr>
      </w:pPr>
      <w:r w:rsidRPr="005E6495">
        <w:rPr>
          <w:b/>
          <w:bCs/>
          <w:iCs/>
          <w:szCs w:val="22"/>
        </w:rPr>
        <w:t xml:space="preserve">PRISE EN CHARGE DES EPISTAXIS VUES EN DEUX ANS </w:t>
      </w:r>
      <w:r w:rsidRPr="005E6495">
        <w:rPr>
          <w:b/>
          <w:bCs/>
          <w:iCs/>
          <w:szCs w:val="22"/>
        </w:rPr>
        <w:br/>
        <w:t>AU CENTRE HOSPITALIER UNIVERSITAIRE D’ANTANANARIVO</w:t>
      </w:r>
    </w:p>
    <w:p w:rsidR="005E6495" w:rsidRPr="005E6495" w:rsidRDefault="005E6495" w:rsidP="005E6495">
      <w:pPr>
        <w:jc w:val="both"/>
        <w:rPr>
          <w:b/>
          <w:bCs/>
          <w:iCs/>
          <w:sz w:val="22"/>
          <w:szCs w:val="22"/>
        </w:rPr>
      </w:pPr>
    </w:p>
    <w:p w:rsidR="005E6495" w:rsidRPr="005E6495" w:rsidRDefault="005E6495" w:rsidP="005E6495">
      <w:pPr>
        <w:jc w:val="center"/>
        <w:rPr>
          <w:sz w:val="22"/>
          <w:szCs w:val="22"/>
        </w:rPr>
      </w:pPr>
      <w:proofErr w:type="spellStart"/>
      <w:r w:rsidRPr="005E6495">
        <w:rPr>
          <w:sz w:val="22"/>
          <w:szCs w:val="22"/>
        </w:rPr>
        <w:t>Rakotoarisoa</w:t>
      </w:r>
      <w:proofErr w:type="spellEnd"/>
      <w:r w:rsidRPr="005E6495">
        <w:rPr>
          <w:sz w:val="22"/>
          <w:szCs w:val="22"/>
        </w:rPr>
        <w:t xml:space="preserve"> AHN</w:t>
      </w:r>
      <w:r w:rsidR="00251151">
        <w:rPr>
          <w:sz w:val="22"/>
          <w:szCs w:val="22"/>
        </w:rPr>
        <w:t xml:space="preserve"> </w:t>
      </w:r>
      <w:r w:rsidRPr="005E6495">
        <w:rPr>
          <w:sz w:val="22"/>
          <w:szCs w:val="22"/>
          <w:vertAlign w:val="superscript"/>
        </w:rPr>
        <w:t>(1)</w:t>
      </w:r>
      <w:r w:rsidRPr="005E6495">
        <w:rPr>
          <w:sz w:val="22"/>
          <w:szCs w:val="22"/>
        </w:rPr>
        <w:t xml:space="preserve">, </w:t>
      </w:r>
      <w:proofErr w:type="spellStart"/>
      <w:r w:rsidRPr="005E6495">
        <w:rPr>
          <w:sz w:val="22"/>
          <w:szCs w:val="22"/>
        </w:rPr>
        <w:t>Razafindrakoto</w:t>
      </w:r>
      <w:proofErr w:type="spellEnd"/>
      <w:r w:rsidRPr="005E6495">
        <w:rPr>
          <w:sz w:val="22"/>
          <w:szCs w:val="22"/>
        </w:rPr>
        <w:t xml:space="preserve"> RMJ</w:t>
      </w:r>
      <w:r w:rsidR="00A308FC">
        <w:rPr>
          <w:sz w:val="22"/>
          <w:szCs w:val="22"/>
        </w:rPr>
        <w:t xml:space="preserve"> </w:t>
      </w:r>
      <w:r w:rsidRPr="005E6495">
        <w:rPr>
          <w:sz w:val="22"/>
          <w:szCs w:val="22"/>
          <w:vertAlign w:val="superscript"/>
        </w:rPr>
        <w:t>(1)</w:t>
      </w:r>
      <w:r w:rsidRPr="005E6495">
        <w:rPr>
          <w:sz w:val="22"/>
          <w:szCs w:val="22"/>
        </w:rPr>
        <w:t xml:space="preserve">, </w:t>
      </w:r>
      <w:proofErr w:type="spellStart"/>
      <w:r w:rsidR="00251151">
        <w:rPr>
          <w:sz w:val="22"/>
          <w:szCs w:val="22"/>
        </w:rPr>
        <w:t>Ramilison</w:t>
      </w:r>
      <w:proofErr w:type="spellEnd"/>
      <w:r w:rsidR="00251151">
        <w:rPr>
          <w:sz w:val="22"/>
          <w:szCs w:val="22"/>
        </w:rPr>
        <w:t xml:space="preserve"> H</w:t>
      </w:r>
      <w:r w:rsidRPr="005E6495">
        <w:rPr>
          <w:sz w:val="22"/>
          <w:szCs w:val="22"/>
        </w:rPr>
        <w:t xml:space="preserve">E </w:t>
      </w:r>
      <w:r w:rsidRPr="005E6495">
        <w:rPr>
          <w:sz w:val="22"/>
          <w:szCs w:val="22"/>
          <w:vertAlign w:val="superscript"/>
        </w:rPr>
        <w:t>(2)</w:t>
      </w:r>
      <w:r w:rsidRPr="005E6495">
        <w:rPr>
          <w:sz w:val="22"/>
          <w:szCs w:val="22"/>
        </w:rPr>
        <w:t>,</w:t>
      </w:r>
    </w:p>
    <w:p w:rsidR="005E6495" w:rsidRDefault="005E6495" w:rsidP="005E6495">
      <w:pPr>
        <w:jc w:val="center"/>
        <w:rPr>
          <w:sz w:val="22"/>
          <w:szCs w:val="22"/>
          <w:vertAlign w:val="superscript"/>
        </w:rPr>
      </w:pPr>
      <w:proofErr w:type="spellStart"/>
      <w:r w:rsidRPr="005E6495">
        <w:rPr>
          <w:sz w:val="22"/>
          <w:szCs w:val="22"/>
        </w:rPr>
        <w:t>Rakotomana</w:t>
      </w:r>
      <w:r>
        <w:rPr>
          <w:sz w:val="22"/>
          <w:szCs w:val="22"/>
        </w:rPr>
        <w:t>n</w:t>
      </w:r>
      <w:r w:rsidRPr="005E6495">
        <w:rPr>
          <w:sz w:val="22"/>
          <w:szCs w:val="22"/>
        </w:rPr>
        <w:t>jo</w:t>
      </w:r>
      <w:proofErr w:type="spellEnd"/>
      <w:r w:rsidRPr="005E6495">
        <w:rPr>
          <w:sz w:val="22"/>
          <w:szCs w:val="22"/>
        </w:rPr>
        <w:t xml:space="preserve"> AH </w:t>
      </w:r>
      <w:r w:rsidRPr="005E6495">
        <w:rPr>
          <w:sz w:val="22"/>
          <w:szCs w:val="22"/>
          <w:vertAlign w:val="superscript"/>
        </w:rPr>
        <w:t>(3)</w:t>
      </w:r>
      <w:r w:rsidRPr="005E6495">
        <w:rPr>
          <w:sz w:val="22"/>
          <w:szCs w:val="22"/>
        </w:rPr>
        <w:t xml:space="preserve">, </w:t>
      </w:r>
      <w:proofErr w:type="spellStart"/>
      <w:r w:rsidRPr="005E6495">
        <w:rPr>
          <w:sz w:val="22"/>
          <w:szCs w:val="22"/>
        </w:rPr>
        <w:t>Rakoto</w:t>
      </w:r>
      <w:proofErr w:type="spellEnd"/>
      <w:r w:rsidRPr="005E6495">
        <w:rPr>
          <w:sz w:val="22"/>
          <w:szCs w:val="22"/>
        </w:rPr>
        <w:t xml:space="preserve"> FA </w:t>
      </w:r>
      <w:r w:rsidRPr="005E6495">
        <w:rPr>
          <w:sz w:val="22"/>
          <w:szCs w:val="22"/>
          <w:vertAlign w:val="superscript"/>
        </w:rPr>
        <w:t>(4)</w:t>
      </w:r>
    </w:p>
    <w:p w:rsidR="00251151" w:rsidRPr="007E2DE9" w:rsidRDefault="00251151" w:rsidP="005E6495">
      <w:pPr>
        <w:jc w:val="center"/>
        <w:rPr>
          <w:sz w:val="22"/>
          <w:szCs w:val="22"/>
        </w:rPr>
      </w:pPr>
    </w:p>
    <w:tbl>
      <w:tblPr>
        <w:tblStyle w:val="Grilledutableau"/>
        <w:tblW w:w="722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"/>
        <w:gridCol w:w="6849"/>
      </w:tblGrid>
      <w:tr w:rsidR="00251151" w:rsidTr="00D9135C">
        <w:tc>
          <w:tcPr>
            <w:tcW w:w="0" w:type="auto"/>
          </w:tcPr>
          <w:p w:rsidR="00251151" w:rsidRPr="003B621F" w:rsidRDefault="00251151" w:rsidP="00251151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(1)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 xml:space="preserve">Chef de Clinique en ORL, Centre Hospitalier Universitaire d’Antananarivo, Hôpital Universitaire Joseph </w:t>
            </w:r>
            <w:proofErr w:type="spellStart"/>
            <w:r w:rsidRPr="005E6495">
              <w:rPr>
                <w:sz w:val="16"/>
                <w:szCs w:val="22"/>
              </w:rPr>
              <w:t>Ravoahangy</w:t>
            </w:r>
            <w:proofErr w:type="spellEnd"/>
            <w:r w:rsidRPr="005E6495">
              <w:rPr>
                <w:sz w:val="16"/>
                <w:szCs w:val="22"/>
              </w:rPr>
              <w:t xml:space="preserve"> </w:t>
            </w:r>
            <w:proofErr w:type="spellStart"/>
            <w:r w:rsidRPr="005E6495">
              <w:rPr>
                <w:sz w:val="16"/>
                <w:szCs w:val="22"/>
              </w:rPr>
              <w:t>Andrianavalona</w:t>
            </w:r>
            <w:proofErr w:type="spellEnd"/>
          </w:p>
        </w:tc>
      </w:tr>
      <w:tr w:rsidR="00251151" w:rsidTr="00D9135C">
        <w:tc>
          <w:tcPr>
            <w:tcW w:w="0" w:type="auto"/>
          </w:tcPr>
          <w:p w:rsidR="00251151" w:rsidRPr="003B621F" w:rsidRDefault="00251151" w:rsidP="005E6495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(2)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>Interne Qualifiant en ORL, Centre Hospitalier de Soavinandriana</w:t>
            </w:r>
          </w:p>
        </w:tc>
      </w:tr>
      <w:tr w:rsidR="00251151" w:rsidTr="00D9135C">
        <w:tc>
          <w:tcPr>
            <w:tcW w:w="0" w:type="auto"/>
          </w:tcPr>
          <w:p w:rsidR="00251151" w:rsidRPr="003B621F" w:rsidRDefault="00251151" w:rsidP="00251151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(3)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>Interne Qualifiant en ORL, Centre Hospitali</w:t>
            </w:r>
            <w:r>
              <w:rPr>
                <w:sz w:val="16"/>
                <w:szCs w:val="22"/>
              </w:rPr>
              <w:t>er Universitaire d’Antananarivo,</w:t>
            </w:r>
            <w:r w:rsidRPr="005E6495">
              <w:rPr>
                <w:sz w:val="16"/>
                <w:szCs w:val="22"/>
              </w:rPr>
              <w:t xml:space="preserve"> Hôpital Universitaire Joseph Ravoahangy Andrianavalona</w:t>
            </w:r>
          </w:p>
        </w:tc>
      </w:tr>
      <w:tr w:rsidR="00251151" w:rsidTr="00D9135C">
        <w:tc>
          <w:tcPr>
            <w:tcW w:w="0" w:type="auto"/>
          </w:tcPr>
          <w:p w:rsidR="00251151" w:rsidRPr="003B621F" w:rsidRDefault="00251151" w:rsidP="005E6495">
            <w:pPr>
              <w:jc w:val="center"/>
              <w:rPr>
                <w:sz w:val="14"/>
                <w:szCs w:val="22"/>
              </w:rPr>
            </w:pPr>
            <w:r w:rsidRPr="003B621F">
              <w:rPr>
                <w:sz w:val="14"/>
                <w:szCs w:val="22"/>
              </w:rPr>
              <w:t>(4)</w:t>
            </w:r>
          </w:p>
        </w:tc>
        <w:tc>
          <w:tcPr>
            <w:tcW w:w="6849" w:type="dxa"/>
          </w:tcPr>
          <w:p w:rsidR="00251151" w:rsidRDefault="00251151" w:rsidP="00251151">
            <w:pPr>
              <w:jc w:val="both"/>
              <w:rPr>
                <w:sz w:val="22"/>
                <w:szCs w:val="22"/>
              </w:rPr>
            </w:pPr>
            <w:r w:rsidRPr="005E6495">
              <w:rPr>
                <w:sz w:val="16"/>
                <w:szCs w:val="22"/>
              </w:rPr>
              <w:t>Professeur Agrégé en ORL, Centre Hospitalier de Soavinandriana, Antananarivo</w:t>
            </w:r>
          </w:p>
        </w:tc>
      </w:tr>
    </w:tbl>
    <w:p w:rsidR="00251151" w:rsidRDefault="00251151" w:rsidP="00BC1E45">
      <w:pPr>
        <w:rPr>
          <w:sz w:val="22"/>
          <w:szCs w:val="22"/>
        </w:rPr>
      </w:pPr>
    </w:p>
    <w:p w:rsidR="00BC1E45" w:rsidRPr="00251151" w:rsidRDefault="00BC1E45" w:rsidP="00BC1E45">
      <w:pPr>
        <w:rPr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bCs/>
          <w:sz w:val="22"/>
          <w:szCs w:val="22"/>
        </w:rPr>
      </w:pPr>
      <w:r w:rsidRPr="005E6495">
        <w:rPr>
          <w:b/>
          <w:bCs/>
          <w:sz w:val="22"/>
          <w:szCs w:val="22"/>
        </w:rPr>
        <w:t>RESUME</w:t>
      </w:r>
    </w:p>
    <w:p w:rsidR="00BC1E45" w:rsidRDefault="00BC1E45" w:rsidP="005E6495">
      <w:pPr>
        <w:jc w:val="both"/>
        <w:rPr>
          <w:b/>
          <w:i/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</w:rPr>
      </w:pPr>
      <w:r w:rsidRPr="005E6495">
        <w:rPr>
          <w:b/>
          <w:i/>
          <w:sz w:val="22"/>
          <w:szCs w:val="22"/>
        </w:rPr>
        <w:t>Contexte</w:t>
      </w:r>
    </w:p>
    <w:p w:rsidR="005E6495" w:rsidRDefault="005E6495" w:rsidP="00BC1E45">
      <w:pPr>
        <w:spacing w:before="120"/>
        <w:ind w:firstLine="425"/>
        <w:jc w:val="both"/>
        <w:rPr>
          <w:sz w:val="22"/>
          <w:szCs w:val="22"/>
        </w:rPr>
      </w:pPr>
      <w:r w:rsidRPr="005E6495">
        <w:rPr>
          <w:sz w:val="22"/>
          <w:szCs w:val="22"/>
        </w:rPr>
        <w:t xml:space="preserve">Les épistaxis constituent une urgence très fréquente dans la spécialité ORL. </w:t>
      </w:r>
    </w:p>
    <w:p w:rsidR="005E6495" w:rsidRPr="005E6495" w:rsidRDefault="005E6495" w:rsidP="005E6495">
      <w:pPr>
        <w:jc w:val="both"/>
        <w:rPr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</w:rPr>
      </w:pPr>
      <w:r w:rsidRPr="005E6495">
        <w:rPr>
          <w:b/>
          <w:i/>
          <w:sz w:val="22"/>
          <w:szCs w:val="22"/>
        </w:rPr>
        <w:t>Objectifs</w:t>
      </w:r>
    </w:p>
    <w:p w:rsidR="005E6495" w:rsidRDefault="005E6495" w:rsidP="00BC1E45">
      <w:pPr>
        <w:spacing w:before="120"/>
        <w:ind w:firstLine="425"/>
        <w:jc w:val="both"/>
        <w:rPr>
          <w:sz w:val="22"/>
          <w:szCs w:val="22"/>
        </w:rPr>
      </w:pPr>
      <w:r w:rsidRPr="005E6495">
        <w:rPr>
          <w:sz w:val="22"/>
          <w:szCs w:val="22"/>
        </w:rPr>
        <w:t>Les objectifs de cette étude étaient d’étudier les caractéristiques épidémiologiques, cliniques et thérapeutiques des épistaxis ob</w:t>
      </w:r>
      <w:r w:rsidR="008E44DE">
        <w:rPr>
          <w:sz w:val="22"/>
          <w:szCs w:val="22"/>
        </w:rPr>
        <w:t>servées au service ORL du CHU d’Antananarivo.</w:t>
      </w:r>
    </w:p>
    <w:p w:rsidR="005E6495" w:rsidRPr="005E6495" w:rsidRDefault="005E6495" w:rsidP="005E6495">
      <w:pPr>
        <w:jc w:val="both"/>
        <w:rPr>
          <w:sz w:val="22"/>
          <w:szCs w:val="22"/>
        </w:rPr>
      </w:pPr>
    </w:p>
    <w:p w:rsidR="005E6495" w:rsidRPr="005E6495" w:rsidRDefault="003B621F" w:rsidP="005E649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Méthode</w:t>
      </w:r>
    </w:p>
    <w:p w:rsidR="005E6495" w:rsidRDefault="005E6495" w:rsidP="00BC1E45">
      <w:pPr>
        <w:spacing w:before="120"/>
        <w:ind w:firstLine="425"/>
        <w:jc w:val="both"/>
        <w:rPr>
          <w:bCs/>
          <w:iCs/>
          <w:sz w:val="22"/>
          <w:szCs w:val="22"/>
        </w:rPr>
      </w:pPr>
      <w:r w:rsidRPr="005E6495">
        <w:rPr>
          <w:sz w:val="22"/>
          <w:szCs w:val="22"/>
        </w:rPr>
        <w:t>Une étude rétrospective était menée au service ORL du CHU d’Antananarivo de Janvier 2008 à Décembre 2009.</w:t>
      </w:r>
      <w:r w:rsidRPr="005E6495">
        <w:rPr>
          <w:bCs/>
          <w:iCs/>
          <w:sz w:val="22"/>
          <w:szCs w:val="22"/>
        </w:rPr>
        <w:t xml:space="preserve"> La distribution selon l’âge et le genre, ainsi que les étiologies des épistaxis et les thérapeutiques adoptées, étaient analysées. Un tamponnement </w:t>
      </w:r>
      <w:r w:rsidR="006D3B8E">
        <w:rPr>
          <w:bCs/>
          <w:iCs/>
          <w:sz w:val="22"/>
          <w:szCs w:val="22"/>
        </w:rPr>
        <w:t>est habituellement mis en place</w:t>
      </w:r>
      <w:r w:rsidRPr="005E6495">
        <w:rPr>
          <w:bCs/>
          <w:iCs/>
          <w:sz w:val="22"/>
          <w:szCs w:val="22"/>
        </w:rPr>
        <w:t xml:space="preserve"> avec une mèche confectionnée à l’aide d’une bande de gaze. Seuls les patients ayant nécessité un traitement </w:t>
      </w:r>
      <w:r w:rsidRPr="005E6495">
        <w:rPr>
          <w:sz w:val="22"/>
          <w:szCs w:val="22"/>
        </w:rPr>
        <w:t>étaient</w:t>
      </w:r>
      <w:r w:rsidRPr="005E6495">
        <w:rPr>
          <w:bCs/>
          <w:iCs/>
          <w:sz w:val="22"/>
          <w:szCs w:val="22"/>
        </w:rPr>
        <w:t xml:space="preserve"> inclus dans l’étude. </w:t>
      </w:r>
    </w:p>
    <w:p w:rsidR="005E6495" w:rsidRPr="005E6495" w:rsidRDefault="005E6495" w:rsidP="005E6495">
      <w:pPr>
        <w:jc w:val="both"/>
        <w:rPr>
          <w:bCs/>
          <w:iCs/>
          <w:sz w:val="22"/>
          <w:szCs w:val="22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</w:rPr>
      </w:pPr>
      <w:r w:rsidRPr="005E6495">
        <w:rPr>
          <w:b/>
          <w:i/>
          <w:sz w:val="22"/>
          <w:szCs w:val="22"/>
        </w:rPr>
        <w:t>Résultats</w:t>
      </w:r>
      <w:r w:rsidR="007F755B">
        <w:rPr>
          <w:b/>
          <w:i/>
          <w:sz w:val="22"/>
          <w:szCs w:val="22"/>
        </w:rPr>
        <w:t>:</w:t>
      </w:r>
    </w:p>
    <w:p w:rsidR="005E6495" w:rsidRDefault="005E6495" w:rsidP="00BC1E45">
      <w:pPr>
        <w:spacing w:before="120"/>
        <w:ind w:firstLine="425"/>
        <w:jc w:val="both"/>
        <w:rPr>
          <w:sz w:val="22"/>
          <w:szCs w:val="22"/>
        </w:rPr>
      </w:pPr>
      <w:r w:rsidRPr="005E6495">
        <w:rPr>
          <w:sz w:val="22"/>
          <w:szCs w:val="22"/>
        </w:rPr>
        <w:t>Durant</w:t>
      </w:r>
      <w:r w:rsidRPr="005E6495">
        <w:rPr>
          <w:bCs/>
          <w:iCs/>
          <w:sz w:val="22"/>
          <w:szCs w:val="22"/>
        </w:rPr>
        <w:t xml:space="preserve"> la période d’étude, nous avons</w:t>
      </w:r>
      <w:r w:rsidR="006D3B8E">
        <w:rPr>
          <w:bCs/>
          <w:iCs/>
          <w:sz w:val="22"/>
          <w:szCs w:val="22"/>
        </w:rPr>
        <w:t xml:space="preserve"> pu inclure 202 cas d’épistaxis: 75,74 % du genre masculin et</w:t>
      </w:r>
      <w:r w:rsidRPr="005E6495">
        <w:rPr>
          <w:bCs/>
          <w:iCs/>
          <w:sz w:val="22"/>
          <w:szCs w:val="22"/>
        </w:rPr>
        <w:t xml:space="preserve"> 24,2</w:t>
      </w:r>
      <w:r w:rsidR="00C7020E">
        <w:rPr>
          <w:bCs/>
          <w:iCs/>
          <w:sz w:val="22"/>
          <w:szCs w:val="22"/>
        </w:rPr>
        <w:t>6 % du genre féminin (</w:t>
      </w:r>
      <w:r w:rsidR="00C7020E" w:rsidRPr="007F755B">
        <w:rPr>
          <w:bCs/>
          <w:i/>
          <w:iCs/>
          <w:sz w:val="22"/>
          <w:szCs w:val="22"/>
        </w:rPr>
        <w:t>sex-ratio</w:t>
      </w:r>
      <w:r w:rsidR="00C7020E">
        <w:rPr>
          <w:bCs/>
          <w:iCs/>
          <w:sz w:val="22"/>
          <w:szCs w:val="22"/>
        </w:rPr>
        <w:t> </w:t>
      </w:r>
      <w:r w:rsidR="006D3B8E">
        <w:rPr>
          <w:bCs/>
          <w:iCs/>
          <w:sz w:val="22"/>
          <w:szCs w:val="22"/>
        </w:rPr>
        <w:t>M/F=</w:t>
      </w:r>
      <w:r w:rsidR="00C7020E">
        <w:rPr>
          <w:bCs/>
          <w:iCs/>
          <w:sz w:val="22"/>
          <w:szCs w:val="22"/>
        </w:rPr>
        <w:t xml:space="preserve"> </w:t>
      </w:r>
      <w:r w:rsidRPr="005E6495">
        <w:rPr>
          <w:bCs/>
          <w:iCs/>
          <w:sz w:val="22"/>
          <w:szCs w:val="22"/>
        </w:rPr>
        <w:t xml:space="preserve">3,12/ 1). Ces malades </w:t>
      </w:r>
      <w:r w:rsidRPr="005E6495">
        <w:rPr>
          <w:sz w:val="22"/>
          <w:szCs w:val="22"/>
        </w:rPr>
        <w:t>étaient</w:t>
      </w:r>
      <w:r w:rsidRPr="005E6495">
        <w:rPr>
          <w:bCs/>
          <w:iCs/>
          <w:sz w:val="22"/>
          <w:szCs w:val="22"/>
        </w:rPr>
        <w:t xml:space="preserve"> âgés de 18 mois à 65 ans (âge moyen: 47,5 ans). Parmi les causes locales, il y avait 73 traumatismes faciaux (</w:t>
      </w:r>
      <w:r w:rsidRPr="005E6495">
        <w:rPr>
          <w:sz w:val="22"/>
          <w:szCs w:val="22"/>
        </w:rPr>
        <w:t>36,5 %)</w:t>
      </w:r>
      <w:r w:rsidRPr="005E6495">
        <w:rPr>
          <w:bCs/>
          <w:iCs/>
          <w:sz w:val="22"/>
          <w:szCs w:val="22"/>
        </w:rPr>
        <w:t xml:space="preserve"> chez lesquels les fractures nasales préd</w:t>
      </w:r>
      <w:r w:rsidR="00C7020E">
        <w:rPr>
          <w:bCs/>
          <w:iCs/>
          <w:sz w:val="22"/>
          <w:szCs w:val="22"/>
        </w:rPr>
        <w:t>ominaient.</w:t>
      </w:r>
      <w:r w:rsidRPr="005E6495">
        <w:rPr>
          <w:bCs/>
          <w:iCs/>
          <w:sz w:val="22"/>
          <w:szCs w:val="22"/>
        </w:rPr>
        <w:t xml:space="preserve"> </w:t>
      </w:r>
      <w:r w:rsidR="00C7020E">
        <w:rPr>
          <w:bCs/>
          <w:iCs/>
          <w:sz w:val="22"/>
          <w:szCs w:val="22"/>
        </w:rPr>
        <w:t>Trois</w:t>
      </w:r>
      <w:r w:rsidRPr="005E6495">
        <w:rPr>
          <w:bCs/>
          <w:iCs/>
          <w:sz w:val="22"/>
          <w:szCs w:val="22"/>
        </w:rPr>
        <w:t xml:space="preserve"> épistaxis </w:t>
      </w:r>
      <w:r w:rsidRPr="005E6495">
        <w:rPr>
          <w:sz w:val="22"/>
          <w:szCs w:val="22"/>
        </w:rPr>
        <w:t>étaient</w:t>
      </w:r>
      <w:r w:rsidRPr="005E6495">
        <w:rPr>
          <w:bCs/>
          <w:iCs/>
          <w:sz w:val="22"/>
          <w:szCs w:val="22"/>
        </w:rPr>
        <w:t xml:space="preserve"> iatrogènes (après t</w:t>
      </w:r>
      <w:r w:rsidR="00C7020E">
        <w:rPr>
          <w:bCs/>
          <w:iCs/>
          <w:sz w:val="22"/>
          <w:szCs w:val="22"/>
        </w:rPr>
        <w:t>urbinectomie). I</w:t>
      </w:r>
      <w:r w:rsidR="00A308FC">
        <w:rPr>
          <w:bCs/>
          <w:iCs/>
          <w:sz w:val="22"/>
          <w:szCs w:val="22"/>
        </w:rPr>
        <w:t>l y avait six</w:t>
      </w:r>
      <w:r w:rsidRPr="005E6495">
        <w:rPr>
          <w:bCs/>
          <w:iCs/>
          <w:sz w:val="22"/>
          <w:szCs w:val="22"/>
        </w:rPr>
        <w:t xml:space="preserve"> fibromes naso</w:t>
      </w:r>
      <w:r w:rsidR="006D3B8E">
        <w:rPr>
          <w:bCs/>
          <w:iCs/>
          <w:sz w:val="22"/>
          <w:szCs w:val="22"/>
        </w:rPr>
        <w:t>-</w:t>
      </w:r>
      <w:r w:rsidRPr="005E6495">
        <w:rPr>
          <w:bCs/>
          <w:iCs/>
          <w:sz w:val="22"/>
          <w:szCs w:val="22"/>
        </w:rPr>
        <w:t>pharyngés. Les causes générales comportaient l’hy</w:t>
      </w:r>
      <w:r w:rsidR="006D3B8E">
        <w:rPr>
          <w:bCs/>
          <w:iCs/>
          <w:sz w:val="22"/>
          <w:szCs w:val="22"/>
        </w:rPr>
        <w:t>pertension artérielle (23,76 %)</w:t>
      </w:r>
      <w:r w:rsidR="00C31626">
        <w:rPr>
          <w:bCs/>
          <w:iCs/>
          <w:sz w:val="22"/>
          <w:szCs w:val="22"/>
        </w:rPr>
        <w:t>,</w:t>
      </w:r>
      <w:r w:rsidRPr="005E6495">
        <w:rPr>
          <w:bCs/>
          <w:iCs/>
          <w:sz w:val="22"/>
          <w:szCs w:val="22"/>
        </w:rPr>
        <w:t xml:space="preserve"> une notion de tr</w:t>
      </w:r>
      <w:r w:rsidR="006D3B8E">
        <w:rPr>
          <w:bCs/>
          <w:iCs/>
          <w:sz w:val="22"/>
          <w:szCs w:val="22"/>
        </w:rPr>
        <w:t>aitement anticoagulant (4,45 %) et</w:t>
      </w:r>
      <w:r w:rsidRPr="005E6495">
        <w:rPr>
          <w:bCs/>
          <w:iCs/>
          <w:sz w:val="22"/>
          <w:szCs w:val="22"/>
        </w:rPr>
        <w:t xml:space="preserve"> un cas de thrombocytopénie. </w:t>
      </w:r>
      <w:r>
        <w:rPr>
          <w:bCs/>
          <w:iCs/>
          <w:sz w:val="22"/>
          <w:szCs w:val="22"/>
        </w:rPr>
        <w:t xml:space="preserve">Un total de </w:t>
      </w:r>
      <w:r w:rsidRPr="005E6495">
        <w:rPr>
          <w:sz w:val="22"/>
          <w:szCs w:val="22"/>
        </w:rPr>
        <w:t>1</w:t>
      </w:r>
      <w:r w:rsidR="00C31626">
        <w:rPr>
          <w:sz w:val="22"/>
          <w:szCs w:val="22"/>
        </w:rPr>
        <w:t>51 tamponnements antérieurs et six</w:t>
      </w:r>
      <w:r w:rsidRPr="005E6495">
        <w:rPr>
          <w:sz w:val="22"/>
          <w:szCs w:val="22"/>
        </w:rPr>
        <w:t xml:space="preserve"> postérieurs étaient mis en place. Un décès était déploré </w:t>
      </w:r>
      <w:r w:rsidR="00C7020E">
        <w:rPr>
          <w:bCs/>
          <w:iCs/>
          <w:sz w:val="22"/>
          <w:szCs w:val="22"/>
        </w:rPr>
        <w:t xml:space="preserve">chez un </w:t>
      </w:r>
      <w:r w:rsidRPr="005E6495">
        <w:rPr>
          <w:bCs/>
          <w:iCs/>
          <w:sz w:val="22"/>
          <w:szCs w:val="22"/>
        </w:rPr>
        <w:t xml:space="preserve">enfant présentant </w:t>
      </w:r>
      <w:r w:rsidRPr="005E6495">
        <w:rPr>
          <w:sz w:val="22"/>
          <w:szCs w:val="22"/>
        </w:rPr>
        <w:t>une thrombocytopénie sévère.</w:t>
      </w:r>
    </w:p>
    <w:p w:rsidR="005E6495" w:rsidRPr="005E6495" w:rsidRDefault="005E6495" w:rsidP="005E6495">
      <w:pPr>
        <w:jc w:val="both"/>
        <w:rPr>
          <w:bCs/>
          <w:iCs/>
          <w:sz w:val="22"/>
          <w:szCs w:val="22"/>
        </w:rPr>
      </w:pPr>
    </w:p>
    <w:p w:rsidR="005E6495" w:rsidRPr="005E6495" w:rsidRDefault="005E6495" w:rsidP="005E6495">
      <w:pPr>
        <w:jc w:val="both"/>
        <w:rPr>
          <w:sz w:val="22"/>
          <w:szCs w:val="22"/>
        </w:rPr>
      </w:pPr>
      <w:r w:rsidRPr="005E6495">
        <w:rPr>
          <w:b/>
          <w:i/>
          <w:sz w:val="22"/>
          <w:szCs w:val="22"/>
        </w:rPr>
        <w:t>Mots-clés</w:t>
      </w:r>
      <w:r w:rsidR="00BC1E45">
        <w:rPr>
          <w:b/>
          <w:i/>
          <w:sz w:val="22"/>
          <w:szCs w:val="22"/>
        </w:rPr>
        <w:t xml:space="preserve"> </w:t>
      </w:r>
      <w:r w:rsidRPr="007F755B">
        <w:rPr>
          <w:b/>
          <w:i/>
          <w:sz w:val="22"/>
          <w:szCs w:val="22"/>
        </w:rPr>
        <w:t>:</w:t>
      </w:r>
      <w:r w:rsidRPr="005E6495">
        <w:rPr>
          <w:sz w:val="22"/>
          <w:szCs w:val="22"/>
        </w:rPr>
        <w:t xml:space="preserve"> Epistaxis, </w:t>
      </w:r>
      <w:r w:rsidRPr="005E6495">
        <w:rPr>
          <w:bCs/>
          <w:iCs/>
          <w:sz w:val="22"/>
          <w:szCs w:val="22"/>
        </w:rPr>
        <w:t>fracture nasale, hypertension artérielle,</w:t>
      </w:r>
      <w:r w:rsidRPr="005E6495">
        <w:rPr>
          <w:sz w:val="22"/>
          <w:szCs w:val="22"/>
        </w:rPr>
        <w:t xml:space="preserve"> ORL, tamponnement.</w:t>
      </w:r>
    </w:p>
    <w:p w:rsidR="005E6495" w:rsidRPr="005E6495" w:rsidRDefault="005E6495" w:rsidP="00BC1E45">
      <w:pPr>
        <w:jc w:val="center"/>
        <w:rPr>
          <w:b/>
          <w:bCs/>
          <w:iCs/>
          <w:sz w:val="22"/>
          <w:szCs w:val="22"/>
          <w:lang w:val="en-GB"/>
        </w:rPr>
      </w:pPr>
      <w:r w:rsidRPr="00614A5C">
        <w:rPr>
          <w:b/>
          <w:bCs/>
          <w:sz w:val="22"/>
          <w:szCs w:val="22"/>
          <w:lang w:val="en-US"/>
        </w:rPr>
        <w:br w:type="page"/>
      </w:r>
      <w:r w:rsidRPr="005E6495">
        <w:rPr>
          <w:b/>
          <w:bCs/>
          <w:iCs/>
          <w:sz w:val="22"/>
          <w:szCs w:val="22"/>
          <w:lang w:val="en-GB"/>
        </w:rPr>
        <w:lastRenderedPageBreak/>
        <w:t>MANAGEMENT OF EPISTAXIS ADMITTED TO ANTANANARIVO UNIVERSITY HOSPITAL CENTRE. A TWO YEARS REVIEW</w:t>
      </w:r>
    </w:p>
    <w:p w:rsidR="005E6495" w:rsidRDefault="005E6495" w:rsidP="005E6495">
      <w:pPr>
        <w:jc w:val="both"/>
        <w:rPr>
          <w:b/>
          <w:bCs/>
          <w:sz w:val="22"/>
          <w:szCs w:val="22"/>
          <w:lang w:val="en-GB"/>
        </w:rPr>
      </w:pPr>
    </w:p>
    <w:p w:rsidR="005E6495" w:rsidRPr="005E6495" w:rsidRDefault="005E6495" w:rsidP="005E6495">
      <w:pPr>
        <w:jc w:val="both"/>
        <w:rPr>
          <w:b/>
          <w:bCs/>
          <w:sz w:val="22"/>
          <w:szCs w:val="22"/>
          <w:lang w:val="en-GB"/>
        </w:rPr>
      </w:pPr>
      <w:r w:rsidRPr="005E6495">
        <w:rPr>
          <w:b/>
          <w:bCs/>
          <w:sz w:val="22"/>
          <w:szCs w:val="22"/>
          <w:lang w:val="en-GB"/>
        </w:rPr>
        <w:t>ABSTRACT</w:t>
      </w:r>
    </w:p>
    <w:p w:rsidR="000C627E" w:rsidRDefault="000C627E" w:rsidP="005E6495">
      <w:pPr>
        <w:jc w:val="both"/>
        <w:rPr>
          <w:b/>
          <w:i/>
          <w:sz w:val="22"/>
          <w:szCs w:val="22"/>
          <w:lang w:val="en-US"/>
        </w:rPr>
      </w:pPr>
    </w:p>
    <w:p w:rsidR="005E6495" w:rsidRDefault="000C627E" w:rsidP="005E6495">
      <w:pPr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Background</w:t>
      </w:r>
    </w:p>
    <w:p w:rsidR="005E6495" w:rsidRDefault="005E6495" w:rsidP="000C627E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5E6495">
        <w:rPr>
          <w:sz w:val="22"/>
          <w:szCs w:val="22"/>
          <w:lang w:val="en-GB"/>
        </w:rPr>
        <w:t>Epistaxis is a very frequent finding in ENT emergency.</w:t>
      </w:r>
    </w:p>
    <w:p w:rsidR="005E6495" w:rsidRPr="005E6495" w:rsidRDefault="005E6495" w:rsidP="005E6495">
      <w:pPr>
        <w:jc w:val="both"/>
        <w:rPr>
          <w:b/>
          <w:i/>
          <w:sz w:val="22"/>
          <w:szCs w:val="22"/>
          <w:lang w:val="en-US"/>
        </w:rPr>
      </w:pPr>
    </w:p>
    <w:p w:rsidR="005E6495" w:rsidRDefault="000C627E" w:rsidP="005E6495">
      <w:pPr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Objectives</w:t>
      </w:r>
    </w:p>
    <w:p w:rsidR="005E6495" w:rsidRDefault="005E6495" w:rsidP="000C627E">
      <w:pPr>
        <w:spacing w:before="120"/>
        <w:ind w:firstLine="425"/>
        <w:jc w:val="both"/>
        <w:rPr>
          <w:bCs/>
          <w:iCs/>
          <w:sz w:val="22"/>
          <w:szCs w:val="22"/>
          <w:lang w:val="en-GB"/>
        </w:rPr>
      </w:pPr>
      <w:r w:rsidRPr="005E6495">
        <w:rPr>
          <w:bCs/>
          <w:iCs/>
          <w:sz w:val="22"/>
          <w:szCs w:val="22"/>
          <w:lang w:val="en-GB"/>
        </w:rPr>
        <w:t>The aim of this study was to determine the epidemiological, clinical and therapeutically characteristics of epistaxis admitted at the ENT department o</w:t>
      </w:r>
      <w:r w:rsidR="00251151">
        <w:rPr>
          <w:bCs/>
          <w:iCs/>
          <w:sz w:val="22"/>
          <w:szCs w:val="22"/>
          <w:lang w:val="en-GB"/>
        </w:rPr>
        <w:t>f the University Hospital Centre</w:t>
      </w:r>
      <w:r w:rsidRPr="005E6495">
        <w:rPr>
          <w:bCs/>
          <w:iCs/>
          <w:sz w:val="22"/>
          <w:szCs w:val="22"/>
          <w:lang w:val="en-GB"/>
        </w:rPr>
        <w:t xml:space="preserve"> of Antananarivo.</w:t>
      </w:r>
    </w:p>
    <w:p w:rsidR="005E6495" w:rsidRPr="005E6495" w:rsidRDefault="005E6495" w:rsidP="005E6495">
      <w:pPr>
        <w:jc w:val="both"/>
        <w:rPr>
          <w:sz w:val="22"/>
          <w:szCs w:val="22"/>
          <w:lang w:val="en-GB"/>
        </w:rPr>
      </w:pPr>
    </w:p>
    <w:p w:rsidR="005E6495" w:rsidRPr="005E6495" w:rsidRDefault="003B621F" w:rsidP="005E6495">
      <w:pPr>
        <w:jc w:val="both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>Method</w:t>
      </w:r>
    </w:p>
    <w:p w:rsidR="005E6495" w:rsidRDefault="005E6495" w:rsidP="000C627E">
      <w:pPr>
        <w:spacing w:before="120"/>
        <w:ind w:firstLine="425"/>
        <w:jc w:val="both"/>
        <w:rPr>
          <w:bCs/>
          <w:iCs/>
          <w:sz w:val="22"/>
          <w:szCs w:val="22"/>
          <w:lang w:val="en-GB"/>
        </w:rPr>
      </w:pPr>
      <w:r w:rsidRPr="005E6495">
        <w:rPr>
          <w:bCs/>
          <w:iCs/>
          <w:sz w:val="22"/>
          <w:szCs w:val="22"/>
          <w:lang w:val="en-GB"/>
        </w:rPr>
        <w:t xml:space="preserve">It is a retrospective review of epistaxis observed in the ENT department of Antananarivo University Hospital Centre from January 2008 to December 2009. We </w:t>
      </w:r>
      <w:r w:rsidR="00251151" w:rsidRPr="005E6495">
        <w:rPr>
          <w:bCs/>
          <w:iCs/>
          <w:sz w:val="22"/>
          <w:szCs w:val="22"/>
          <w:lang w:val="en-GB"/>
        </w:rPr>
        <w:t>analysed</w:t>
      </w:r>
      <w:r w:rsidRPr="005E6495">
        <w:rPr>
          <w:bCs/>
          <w:iCs/>
          <w:sz w:val="22"/>
          <w:szCs w:val="22"/>
          <w:lang w:val="en-GB"/>
        </w:rPr>
        <w:t xml:space="preserve"> the distribution by gender</w:t>
      </w:r>
      <w:r w:rsidR="006D3B8E">
        <w:rPr>
          <w:bCs/>
          <w:iCs/>
          <w:sz w:val="22"/>
          <w:szCs w:val="22"/>
          <w:lang w:val="en-GB"/>
        </w:rPr>
        <w:t xml:space="preserve">, </w:t>
      </w:r>
      <w:r w:rsidR="00C7020E">
        <w:rPr>
          <w:bCs/>
          <w:iCs/>
          <w:sz w:val="22"/>
          <w:szCs w:val="22"/>
          <w:lang w:val="en-GB"/>
        </w:rPr>
        <w:t>age, causes of the disease</w:t>
      </w:r>
      <w:r w:rsidRPr="005E6495">
        <w:rPr>
          <w:bCs/>
          <w:iCs/>
          <w:sz w:val="22"/>
          <w:szCs w:val="22"/>
          <w:lang w:val="en-GB"/>
        </w:rPr>
        <w:t xml:space="preserve"> and the adopted treatment. Inclusion criteria focused on patients requiring treatment. Patients in whom there was no significant </w:t>
      </w:r>
      <w:r w:rsidRPr="005E6495">
        <w:rPr>
          <w:sz w:val="22"/>
          <w:szCs w:val="22"/>
          <w:lang w:val="en-GB"/>
        </w:rPr>
        <w:t>haemorrhage</w:t>
      </w:r>
      <w:r w:rsidRPr="005E6495">
        <w:rPr>
          <w:bCs/>
          <w:iCs/>
          <w:sz w:val="22"/>
          <w:szCs w:val="22"/>
          <w:lang w:val="en-GB"/>
        </w:rPr>
        <w:t xml:space="preserve"> were excluded. Treatment fre</w:t>
      </w:r>
      <w:r w:rsidR="006D3B8E">
        <w:rPr>
          <w:bCs/>
          <w:iCs/>
          <w:sz w:val="22"/>
          <w:szCs w:val="22"/>
          <w:lang w:val="en-GB"/>
        </w:rPr>
        <w:t>quently involved a nose packing</w:t>
      </w:r>
      <w:r w:rsidRPr="005E6495">
        <w:rPr>
          <w:bCs/>
          <w:iCs/>
          <w:sz w:val="22"/>
          <w:szCs w:val="22"/>
          <w:lang w:val="en-GB"/>
        </w:rPr>
        <w:t xml:space="preserve"> with materials produced from gauze.</w:t>
      </w:r>
    </w:p>
    <w:p w:rsidR="005E6495" w:rsidRPr="005E6495" w:rsidRDefault="005E6495" w:rsidP="005E6495">
      <w:pPr>
        <w:jc w:val="both"/>
        <w:rPr>
          <w:bCs/>
          <w:iCs/>
          <w:sz w:val="22"/>
          <w:szCs w:val="22"/>
          <w:lang w:val="en-GB"/>
        </w:rPr>
      </w:pPr>
    </w:p>
    <w:p w:rsidR="005E6495" w:rsidRPr="005E6495" w:rsidRDefault="005E6495" w:rsidP="005E6495">
      <w:pPr>
        <w:jc w:val="both"/>
        <w:rPr>
          <w:b/>
          <w:i/>
          <w:sz w:val="22"/>
          <w:szCs w:val="22"/>
          <w:lang w:val="en-US"/>
        </w:rPr>
      </w:pPr>
      <w:r w:rsidRPr="005E6495">
        <w:rPr>
          <w:b/>
          <w:i/>
          <w:sz w:val="22"/>
          <w:szCs w:val="22"/>
          <w:lang w:val="en-US"/>
        </w:rPr>
        <w:t>Results</w:t>
      </w:r>
    </w:p>
    <w:p w:rsidR="005E6495" w:rsidRDefault="005E6495" w:rsidP="000C627E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5E6495">
        <w:rPr>
          <w:bCs/>
          <w:iCs/>
          <w:sz w:val="22"/>
          <w:szCs w:val="22"/>
          <w:lang w:val="en-GB"/>
        </w:rPr>
        <w:t>During the two years study period, we</w:t>
      </w:r>
      <w:r w:rsidR="00CD2089">
        <w:rPr>
          <w:bCs/>
          <w:iCs/>
          <w:sz w:val="22"/>
          <w:szCs w:val="22"/>
          <w:lang w:val="en-GB"/>
        </w:rPr>
        <w:t xml:space="preserve"> included 202 cases of epistaxes</w:t>
      </w:r>
      <w:r w:rsidR="000C627E">
        <w:rPr>
          <w:bCs/>
          <w:iCs/>
          <w:sz w:val="22"/>
          <w:szCs w:val="22"/>
          <w:lang w:val="en-GB"/>
        </w:rPr>
        <w:t xml:space="preserve"> </w:t>
      </w:r>
      <w:r w:rsidRPr="005E6495">
        <w:rPr>
          <w:bCs/>
          <w:iCs/>
          <w:sz w:val="22"/>
          <w:szCs w:val="22"/>
          <w:lang w:val="en-GB"/>
        </w:rPr>
        <w:t xml:space="preserve">; </w:t>
      </w:r>
      <w:r w:rsidR="00C31626">
        <w:rPr>
          <w:bCs/>
          <w:iCs/>
          <w:sz w:val="22"/>
          <w:szCs w:val="22"/>
          <w:lang w:val="en-GB"/>
        </w:rPr>
        <w:t>75.74 % of patients were male and</w:t>
      </w:r>
      <w:r w:rsidRPr="005E6495">
        <w:rPr>
          <w:bCs/>
          <w:iCs/>
          <w:sz w:val="22"/>
          <w:szCs w:val="22"/>
          <w:lang w:val="en-GB"/>
        </w:rPr>
        <w:t xml:space="preserve"> 24.26 % female (</w:t>
      </w:r>
      <w:r w:rsidRPr="007F755B">
        <w:rPr>
          <w:bCs/>
          <w:i/>
          <w:iCs/>
          <w:sz w:val="22"/>
          <w:szCs w:val="22"/>
          <w:lang w:val="en-GB"/>
        </w:rPr>
        <w:t>sex</w:t>
      </w:r>
      <w:r w:rsidR="00C31626" w:rsidRPr="007F755B">
        <w:rPr>
          <w:bCs/>
          <w:i/>
          <w:iCs/>
          <w:sz w:val="22"/>
          <w:szCs w:val="22"/>
          <w:lang w:val="en-GB"/>
        </w:rPr>
        <w:t>-</w:t>
      </w:r>
      <w:r w:rsidRPr="007F755B">
        <w:rPr>
          <w:bCs/>
          <w:i/>
          <w:iCs/>
          <w:sz w:val="22"/>
          <w:szCs w:val="22"/>
          <w:lang w:val="en-GB"/>
        </w:rPr>
        <w:t>ratio</w:t>
      </w:r>
      <w:r w:rsidRPr="005E6495">
        <w:rPr>
          <w:bCs/>
          <w:iCs/>
          <w:sz w:val="22"/>
          <w:szCs w:val="22"/>
          <w:lang w:val="en-GB"/>
        </w:rPr>
        <w:t xml:space="preserve"> </w:t>
      </w:r>
      <w:r w:rsidR="006D3B8E">
        <w:rPr>
          <w:bCs/>
          <w:iCs/>
          <w:sz w:val="22"/>
          <w:szCs w:val="22"/>
          <w:lang w:val="en-GB"/>
        </w:rPr>
        <w:t>M/F= 3.12/</w:t>
      </w:r>
      <w:r w:rsidRPr="005E6495">
        <w:rPr>
          <w:bCs/>
          <w:iCs/>
          <w:sz w:val="22"/>
          <w:szCs w:val="22"/>
          <w:lang w:val="en-GB"/>
        </w:rPr>
        <w:t xml:space="preserve">1). These patients were aged from 18 months to 65 years (median age 47.5 years). Among local causes, epistaxis was associated with facial trauma in </w:t>
      </w:r>
      <w:r w:rsidRPr="005E6495">
        <w:rPr>
          <w:sz w:val="22"/>
          <w:szCs w:val="22"/>
          <w:lang w:val="en-GB"/>
        </w:rPr>
        <w:t>36.5 %</w:t>
      </w:r>
      <w:r w:rsidR="00C7020E">
        <w:rPr>
          <w:sz w:val="22"/>
          <w:szCs w:val="22"/>
          <w:lang w:val="en-GB"/>
        </w:rPr>
        <w:t xml:space="preserve"> </w:t>
      </w:r>
      <w:r w:rsidRPr="005E6495">
        <w:rPr>
          <w:bCs/>
          <w:iCs/>
          <w:sz w:val="22"/>
          <w:szCs w:val="22"/>
          <w:lang w:val="en-GB"/>
        </w:rPr>
        <w:t>and the most common injuries were na</w:t>
      </w:r>
      <w:r w:rsidR="006D3B8E">
        <w:rPr>
          <w:bCs/>
          <w:iCs/>
          <w:sz w:val="22"/>
          <w:szCs w:val="22"/>
          <w:lang w:val="en-GB"/>
        </w:rPr>
        <w:t>sal fractures. There were also three</w:t>
      </w:r>
      <w:r w:rsidRPr="005E6495">
        <w:rPr>
          <w:bCs/>
          <w:iCs/>
          <w:sz w:val="22"/>
          <w:szCs w:val="22"/>
          <w:lang w:val="en-GB"/>
        </w:rPr>
        <w:t xml:space="preserve"> iatrogenic epist</w:t>
      </w:r>
      <w:r w:rsidR="00C31626">
        <w:rPr>
          <w:bCs/>
          <w:iCs/>
          <w:sz w:val="22"/>
          <w:szCs w:val="22"/>
          <w:lang w:val="en-GB"/>
        </w:rPr>
        <w:t>axis (after turbinectomy)</w:t>
      </w:r>
      <w:r w:rsidR="00A308FC">
        <w:rPr>
          <w:bCs/>
          <w:iCs/>
          <w:sz w:val="22"/>
          <w:szCs w:val="22"/>
          <w:lang w:val="en-GB"/>
        </w:rPr>
        <w:t xml:space="preserve"> and six</w:t>
      </w:r>
      <w:r w:rsidRPr="005E6495">
        <w:rPr>
          <w:bCs/>
          <w:iCs/>
          <w:sz w:val="22"/>
          <w:szCs w:val="22"/>
          <w:lang w:val="en-GB"/>
        </w:rPr>
        <w:t xml:space="preserve"> </w:t>
      </w:r>
      <w:r w:rsidRPr="005E6495">
        <w:rPr>
          <w:sz w:val="22"/>
          <w:szCs w:val="22"/>
          <w:lang w:val="en-GB"/>
        </w:rPr>
        <w:t>nasopharyngeal angiofibromas</w:t>
      </w:r>
      <w:r w:rsidRPr="005E6495">
        <w:rPr>
          <w:bCs/>
          <w:iCs/>
          <w:sz w:val="22"/>
          <w:szCs w:val="22"/>
          <w:lang w:val="en-GB"/>
        </w:rPr>
        <w:t>. Among systemic causes, arterial hypertension (23.76 %) and a</w:t>
      </w:r>
      <w:r w:rsidR="00C31626">
        <w:rPr>
          <w:bCs/>
          <w:iCs/>
          <w:sz w:val="22"/>
          <w:szCs w:val="22"/>
          <w:lang w:val="en-GB"/>
        </w:rPr>
        <w:t>nti-</w:t>
      </w:r>
      <w:r w:rsidRPr="005E6495">
        <w:rPr>
          <w:bCs/>
          <w:iCs/>
          <w:sz w:val="22"/>
          <w:szCs w:val="22"/>
          <w:lang w:val="en-GB"/>
        </w:rPr>
        <w:t xml:space="preserve">coagulant therapies (4.45 %) predominated. There was one case of thrombocytopenia. </w:t>
      </w:r>
      <w:r w:rsidR="006D3B8E">
        <w:rPr>
          <w:sz w:val="22"/>
          <w:szCs w:val="22"/>
          <w:lang w:val="en-GB"/>
        </w:rPr>
        <w:t>A total of 151 anterior and six</w:t>
      </w:r>
      <w:r w:rsidRPr="005E6495">
        <w:rPr>
          <w:sz w:val="22"/>
          <w:szCs w:val="22"/>
          <w:lang w:val="en-GB"/>
        </w:rPr>
        <w:t xml:space="preserve"> posterior packing procedures were performed</w:t>
      </w:r>
      <w:r w:rsidRPr="005E6495">
        <w:rPr>
          <w:bCs/>
          <w:iCs/>
          <w:sz w:val="22"/>
          <w:szCs w:val="22"/>
          <w:lang w:val="en-GB"/>
        </w:rPr>
        <w:t>. There was one death with a</w:t>
      </w:r>
      <w:r w:rsidRPr="005E6495">
        <w:rPr>
          <w:sz w:val="22"/>
          <w:szCs w:val="22"/>
          <w:lang w:val="en-GB"/>
        </w:rPr>
        <w:t xml:space="preserve"> little patient having a severe thrombocytopenia. </w:t>
      </w:r>
    </w:p>
    <w:p w:rsidR="005E6495" w:rsidRPr="005E6495" w:rsidRDefault="005E6495" w:rsidP="005E6495">
      <w:pPr>
        <w:jc w:val="both"/>
        <w:rPr>
          <w:sz w:val="22"/>
          <w:szCs w:val="22"/>
          <w:lang w:val="en-GB"/>
        </w:rPr>
      </w:pPr>
    </w:p>
    <w:p w:rsidR="005E6495" w:rsidRPr="005E6495" w:rsidRDefault="005E6495" w:rsidP="005E6495">
      <w:pPr>
        <w:jc w:val="both"/>
        <w:rPr>
          <w:sz w:val="22"/>
          <w:szCs w:val="22"/>
          <w:lang w:val="en-GB"/>
        </w:rPr>
      </w:pPr>
      <w:r w:rsidRPr="005E6495">
        <w:rPr>
          <w:b/>
          <w:i/>
          <w:sz w:val="22"/>
          <w:szCs w:val="22"/>
          <w:lang w:val="en-US"/>
        </w:rPr>
        <w:t>Key-words</w:t>
      </w:r>
      <w:r w:rsidR="000C627E">
        <w:rPr>
          <w:b/>
          <w:i/>
          <w:sz w:val="22"/>
          <w:szCs w:val="22"/>
          <w:lang w:val="en-US"/>
        </w:rPr>
        <w:t xml:space="preserve"> </w:t>
      </w:r>
      <w:r w:rsidRPr="007F755B">
        <w:rPr>
          <w:b/>
          <w:i/>
          <w:sz w:val="22"/>
          <w:szCs w:val="22"/>
          <w:lang w:val="en-US"/>
        </w:rPr>
        <w:t>:</w:t>
      </w:r>
      <w:r w:rsidRPr="005E6495">
        <w:rPr>
          <w:sz w:val="22"/>
          <w:szCs w:val="22"/>
          <w:lang w:val="en-US"/>
        </w:rPr>
        <w:t xml:space="preserve"> </w:t>
      </w:r>
      <w:r w:rsidRPr="005E6495">
        <w:rPr>
          <w:bCs/>
          <w:iCs/>
          <w:sz w:val="22"/>
          <w:szCs w:val="22"/>
          <w:lang w:val="en-GB"/>
        </w:rPr>
        <w:t>Arterial hypertension,</w:t>
      </w:r>
      <w:r w:rsidRPr="005E6495">
        <w:rPr>
          <w:sz w:val="22"/>
          <w:szCs w:val="22"/>
          <w:lang w:val="en-GB"/>
        </w:rPr>
        <w:t xml:space="preserve"> ENT, epistaxis, </w:t>
      </w:r>
      <w:r w:rsidRPr="005E6495">
        <w:rPr>
          <w:bCs/>
          <w:iCs/>
          <w:sz w:val="22"/>
          <w:szCs w:val="22"/>
          <w:lang w:val="en-GB"/>
        </w:rPr>
        <w:t xml:space="preserve">nasal fracture, </w:t>
      </w:r>
      <w:r w:rsidRPr="005E6495">
        <w:rPr>
          <w:sz w:val="22"/>
          <w:szCs w:val="22"/>
          <w:lang w:val="en-GB"/>
        </w:rPr>
        <w:t>packing.</w:t>
      </w:r>
    </w:p>
    <w:sectPr w:rsidR="005E6495" w:rsidRPr="005E6495" w:rsidSect="009A5F41">
      <w:headerReference w:type="even" r:id="rId8"/>
      <w:footerReference w:type="default" r:id="rId9"/>
      <w:pgSz w:w="8789" w:h="13041" w:code="9"/>
      <w:pgMar w:top="567" w:right="567" w:bottom="567" w:left="567" w:header="709" w:footer="20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0F" w:rsidRDefault="0088730F" w:rsidP="00D531CC">
      <w:r>
        <w:separator/>
      </w:r>
    </w:p>
  </w:endnote>
  <w:endnote w:type="continuationSeparator" w:id="0">
    <w:p w:rsidR="0088730F" w:rsidRDefault="0088730F" w:rsidP="00D5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5181"/>
      <w:docPartObj>
        <w:docPartGallery w:val="Page Numbers (Bottom of Page)"/>
        <w:docPartUnique/>
      </w:docPartObj>
    </w:sdtPr>
    <w:sdtEndPr>
      <w:rPr>
        <w:b/>
        <w:sz w:val="22"/>
        <w:szCs w:val="22"/>
      </w:rPr>
    </w:sdtEndPr>
    <w:sdtContent>
      <w:p w:rsidR="00EF12F8" w:rsidRPr="009264A9" w:rsidRDefault="004B4B07">
        <w:pPr>
          <w:pStyle w:val="Pieddepage"/>
          <w:jc w:val="center"/>
          <w:rPr>
            <w:b/>
            <w:sz w:val="22"/>
            <w:szCs w:val="22"/>
          </w:rPr>
        </w:pPr>
        <w:r w:rsidRPr="009264A9">
          <w:rPr>
            <w:b/>
            <w:sz w:val="22"/>
            <w:szCs w:val="22"/>
          </w:rPr>
          <w:fldChar w:fldCharType="begin"/>
        </w:r>
        <w:r w:rsidR="00EF12F8" w:rsidRPr="009264A9">
          <w:rPr>
            <w:b/>
            <w:sz w:val="22"/>
            <w:szCs w:val="22"/>
          </w:rPr>
          <w:instrText xml:space="preserve"> PAGE   \* MERGEFORMAT </w:instrText>
        </w:r>
        <w:r w:rsidRPr="009264A9">
          <w:rPr>
            <w:b/>
            <w:sz w:val="22"/>
            <w:szCs w:val="22"/>
          </w:rPr>
          <w:fldChar w:fldCharType="separate"/>
        </w:r>
        <w:r w:rsidR="0099088A">
          <w:rPr>
            <w:b/>
            <w:noProof/>
            <w:sz w:val="22"/>
            <w:szCs w:val="22"/>
          </w:rPr>
          <w:t>57</w:t>
        </w:r>
        <w:r w:rsidRPr="009264A9">
          <w:rPr>
            <w:b/>
            <w:sz w:val="22"/>
            <w:szCs w:val="22"/>
          </w:rPr>
          <w:fldChar w:fldCharType="end"/>
        </w:r>
      </w:p>
    </w:sdtContent>
  </w:sdt>
  <w:p w:rsidR="00D829F0" w:rsidRDefault="00D829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0F" w:rsidRDefault="0088730F" w:rsidP="00D531CC">
      <w:r>
        <w:separator/>
      </w:r>
    </w:p>
  </w:footnote>
  <w:footnote w:type="continuationSeparator" w:id="0">
    <w:p w:rsidR="0088730F" w:rsidRDefault="0088730F" w:rsidP="00D53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6A8" w:rsidRDefault="004B4B07" w:rsidP="00772D6B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0543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F26A8" w:rsidRDefault="00280FF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73F4"/>
    <w:multiLevelType w:val="hybridMultilevel"/>
    <w:tmpl w:val="3828C49C"/>
    <w:lvl w:ilvl="0" w:tplc="C298E6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E50304"/>
    <w:multiLevelType w:val="hybridMultilevel"/>
    <w:tmpl w:val="BB4619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1CC"/>
    <w:rsid w:val="000315A7"/>
    <w:rsid w:val="00034D13"/>
    <w:rsid w:val="00070472"/>
    <w:rsid w:val="00073F53"/>
    <w:rsid w:val="00081894"/>
    <w:rsid w:val="000846E1"/>
    <w:rsid w:val="000C627E"/>
    <w:rsid w:val="000F060B"/>
    <w:rsid w:val="000F5C1C"/>
    <w:rsid w:val="0010667A"/>
    <w:rsid w:val="0011701A"/>
    <w:rsid w:val="00135617"/>
    <w:rsid w:val="00190B7D"/>
    <w:rsid w:val="00192B8E"/>
    <w:rsid w:val="001C7FC9"/>
    <w:rsid w:val="001F26CC"/>
    <w:rsid w:val="001F48C6"/>
    <w:rsid w:val="002045E9"/>
    <w:rsid w:val="00211070"/>
    <w:rsid w:val="00216FF6"/>
    <w:rsid w:val="00251151"/>
    <w:rsid w:val="002521CD"/>
    <w:rsid w:val="00252D85"/>
    <w:rsid w:val="00287972"/>
    <w:rsid w:val="00296E05"/>
    <w:rsid w:val="002B53FF"/>
    <w:rsid w:val="002D24B9"/>
    <w:rsid w:val="002E7B2C"/>
    <w:rsid w:val="00327AF1"/>
    <w:rsid w:val="00352312"/>
    <w:rsid w:val="00361FDE"/>
    <w:rsid w:val="00375259"/>
    <w:rsid w:val="00385631"/>
    <w:rsid w:val="003B0F38"/>
    <w:rsid w:val="003B45C6"/>
    <w:rsid w:val="003B621F"/>
    <w:rsid w:val="003E2C70"/>
    <w:rsid w:val="003E7DF7"/>
    <w:rsid w:val="00400F59"/>
    <w:rsid w:val="00410296"/>
    <w:rsid w:val="004110FE"/>
    <w:rsid w:val="00411339"/>
    <w:rsid w:val="004170F0"/>
    <w:rsid w:val="00447B64"/>
    <w:rsid w:val="004617C9"/>
    <w:rsid w:val="004673CE"/>
    <w:rsid w:val="004728F9"/>
    <w:rsid w:val="00483984"/>
    <w:rsid w:val="004A1185"/>
    <w:rsid w:val="004A4626"/>
    <w:rsid w:val="004B4B07"/>
    <w:rsid w:val="004E48DA"/>
    <w:rsid w:val="005216B9"/>
    <w:rsid w:val="005422C0"/>
    <w:rsid w:val="0054377B"/>
    <w:rsid w:val="0055612F"/>
    <w:rsid w:val="00556AB6"/>
    <w:rsid w:val="00563A39"/>
    <w:rsid w:val="00593D8D"/>
    <w:rsid w:val="00596D67"/>
    <w:rsid w:val="005C743F"/>
    <w:rsid w:val="005E44D5"/>
    <w:rsid w:val="005E502C"/>
    <w:rsid w:val="005E6495"/>
    <w:rsid w:val="005F2E08"/>
    <w:rsid w:val="00601E78"/>
    <w:rsid w:val="0060357F"/>
    <w:rsid w:val="0060543D"/>
    <w:rsid w:val="0061464D"/>
    <w:rsid w:val="00614A5C"/>
    <w:rsid w:val="006235E0"/>
    <w:rsid w:val="0066465F"/>
    <w:rsid w:val="006A3592"/>
    <w:rsid w:val="006B74D6"/>
    <w:rsid w:val="006C6742"/>
    <w:rsid w:val="006D3B8E"/>
    <w:rsid w:val="006E276D"/>
    <w:rsid w:val="006E3302"/>
    <w:rsid w:val="006E713A"/>
    <w:rsid w:val="006F3310"/>
    <w:rsid w:val="00721252"/>
    <w:rsid w:val="00750358"/>
    <w:rsid w:val="00757B11"/>
    <w:rsid w:val="00761C95"/>
    <w:rsid w:val="00762CA1"/>
    <w:rsid w:val="00767E09"/>
    <w:rsid w:val="007A7DFC"/>
    <w:rsid w:val="007C1817"/>
    <w:rsid w:val="007E2DE9"/>
    <w:rsid w:val="007E6875"/>
    <w:rsid w:val="007F755B"/>
    <w:rsid w:val="007F7ABD"/>
    <w:rsid w:val="00832053"/>
    <w:rsid w:val="008441BE"/>
    <w:rsid w:val="0086044F"/>
    <w:rsid w:val="008641E8"/>
    <w:rsid w:val="00875E4D"/>
    <w:rsid w:val="0088730F"/>
    <w:rsid w:val="008B4E90"/>
    <w:rsid w:val="008C658A"/>
    <w:rsid w:val="008D0C67"/>
    <w:rsid w:val="008E44DE"/>
    <w:rsid w:val="009020B3"/>
    <w:rsid w:val="009148A8"/>
    <w:rsid w:val="009264A9"/>
    <w:rsid w:val="00932F14"/>
    <w:rsid w:val="00975A16"/>
    <w:rsid w:val="0098322F"/>
    <w:rsid w:val="0099088A"/>
    <w:rsid w:val="009A222D"/>
    <w:rsid w:val="009A5F41"/>
    <w:rsid w:val="009C7565"/>
    <w:rsid w:val="009D52B4"/>
    <w:rsid w:val="009E4A33"/>
    <w:rsid w:val="009E4E0B"/>
    <w:rsid w:val="00A019F1"/>
    <w:rsid w:val="00A308FC"/>
    <w:rsid w:val="00A53A9A"/>
    <w:rsid w:val="00AA649F"/>
    <w:rsid w:val="00AC0270"/>
    <w:rsid w:val="00AD5AF8"/>
    <w:rsid w:val="00AF43FA"/>
    <w:rsid w:val="00B05B36"/>
    <w:rsid w:val="00B20882"/>
    <w:rsid w:val="00BA35A1"/>
    <w:rsid w:val="00BC1E45"/>
    <w:rsid w:val="00BD4228"/>
    <w:rsid w:val="00C02140"/>
    <w:rsid w:val="00C061B8"/>
    <w:rsid w:val="00C31626"/>
    <w:rsid w:val="00C520D4"/>
    <w:rsid w:val="00C7020E"/>
    <w:rsid w:val="00C74BDD"/>
    <w:rsid w:val="00C77BD6"/>
    <w:rsid w:val="00C879B5"/>
    <w:rsid w:val="00C91338"/>
    <w:rsid w:val="00CB272D"/>
    <w:rsid w:val="00CB68D8"/>
    <w:rsid w:val="00CD2089"/>
    <w:rsid w:val="00D06CE0"/>
    <w:rsid w:val="00D27938"/>
    <w:rsid w:val="00D531CC"/>
    <w:rsid w:val="00D80D3F"/>
    <w:rsid w:val="00D819F8"/>
    <w:rsid w:val="00D829F0"/>
    <w:rsid w:val="00D909F5"/>
    <w:rsid w:val="00D9135C"/>
    <w:rsid w:val="00DB6133"/>
    <w:rsid w:val="00DD4096"/>
    <w:rsid w:val="00DF40FD"/>
    <w:rsid w:val="00DF48C1"/>
    <w:rsid w:val="00E25383"/>
    <w:rsid w:val="00EF12F8"/>
    <w:rsid w:val="00F03AB0"/>
    <w:rsid w:val="00F407A8"/>
    <w:rsid w:val="00F7618B"/>
    <w:rsid w:val="00F80967"/>
    <w:rsid w:val="00FC6E89"/>
    <w:rsid w:val="00FD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qFormat/>
    <w:rsid w:val="00D531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531C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styleId="Grilledutableau">
    <w:name w:val="Table Grid"/>
    <w:basedOn w:val="TableauNormal"/>
    <w:rsid w:val="00D53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D531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531C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531CC"/>
  </w:style>
  <w:style w:type="character" w:customStyle="1" w:styleId="textenormalsmallleft">
    <w:name w:val="textenormalsmallleft"/>
    <w:basedOn w:val="Policepardfaut"/>
    <w:rsid w:val="00D531CC"/>
  </w:style>
  <w:style w:type="paragraph" w:styleId="NormalWeb">
    <w:name w:val="Normal (Web)"/>
    <w:basedOn w:val="Normal"/>
    <w:rsid w:val="00D531CC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D531CC"/>
    <w:rPr>
      <w:color w:val="0000FF"/>
      <w:u w:val="single"/>
    </w:rPr>
  </w:style>
  <w:style w:type="character" w:styleId="lev">
    <w:name w:val="Strong"/>
    <w:basedOn w:val="Policepardfaut"/>
    <w:qFormat/>
    <w:rsid w:val="00D531CC"/>
    <w:rPr>
      <w:b/>
      <w:bCs/>
    </w:rPr>
  </w:style>
  <w:style w:type="character" w:customStyle="1" w:styleId="textblue">
    <w:name w:val="textblue"/>
    <w:basedOn w:val="Policepardfaut"/>
    <w:rsid w:val="00D531CC"/>
  </w:style>
  <w:style w:type="character" w:customStyle="1" w:styleId="textgrey">
    <w:name w:val="textgrey"/>
    <w:basedOn w:val="Policepardfaut"/>
    <w:rsid w:val="00D531CC"/>
  </w:style>
  <w:style w:type="character" w:customStyle="1" w:styleId="text">
    <w:name w:val="text"/>
    <w:basedOn w:val="Policepardfaut"/>
    <w:rsid w:val="00D531CC"/>
  </w:style>
  <w:style w:type="paragraph" w:styleId="Pieddepage">
    <w:name w:val="footer"/>
    <w:basedOn w:val="Normal"/>
    <w:link w:val="PieddepageCar"/>
    <w:uiPriority w:val="99"/>
    <w:rsid w:val="00D531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1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D531C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846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6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4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512B-9431-48CC-9010-78F4D930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cidst</cp:lastModifiedBy>
  <cp:revision>92</cp:revision>
  <cp:lastPrinted>2011-02-08T19:49:00Z</cp:lastPrinted>
  <dcterms:created xsi:type="dcterms:W3CDTF">2012-06-06T06:44:00Z</dcterms:created>
  <dcterms:modified xsi:type="dcterms:W3CDTF">2013-11-28T09:51:00Z</dcterms:modified>
</cp:coreProperties>
</file>